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164AEF" w14:paraId="4C3C8D1B" w14:textId="77777777" w:rsidTr="009C08C1">
        <w:trPr>
          <w:trHeight w:val="2097"/>
        </w:trPr>
        <w:tc>
          <w:tcPr>
            <w:tcW w:w="5000" w:type="pct"/>
          </w:tcPr>
          <w:p w14:paraId="475E6F16" w14:textId="77777777" w:rsidR="009C08C1" w:rsidRPr="00BE2E35" w:rsidRDefault="009C08C1" w:rsidP="009C08C1">
            <w:pPr>
              <w:spacing w:after="0" w:line="240" w:lineRule="auto"/>
              <w:rPr>
                <w:lang w:val="en-US"/>
              </w:rPr>
            </w:pPr>
          </w:p>
          <w:p w14:paraId="0CD86D39" w14:textId="79DB42C9" w:rsidR="009C08C1" w:rsidRPr="009C08C1" w:rsidRDefault="00256C90" w:rsidP="009C08C1">
            <w:pPr>
              <w:pStyle w:val="Articletitle"/>
              <w:spacing w:before="0" w:after="120" w:line="240" w:lineRule="auto"/>
              <w:ind w:left="2835"/>
              <w:rPr>
                <w:rFonts w:ascii="Arial" w:hAnsi="Arial" w:cs="Arial"/>
                <w:sz w:val="28"/>
                <w:szCs w:val="28"/>
              </w:rPr>
            </w:pPr>
            <w:r>
              <w:rPr>
                <w:rFonts w:ascii="Arial" w:hAnsi="Arial" w:cs="Arial"/>
                <w:noProof/>
                <w:sz w:val="28"/>
                <w:szCs w:val="28"/>
                <w:lang w:val="el-GR" w:eastAsia="el-GR"/>
              </w:rPr>
              <w:drawing>
                <wp:anchor distT="0" distB="0" distL="114300" distR="114300" simplePos="0" relativeHeight="251658240" behindDoc="1" locked="0" layoutInCell="1" allowOverlap="1" wp14:anchorId="577FA9E8" wp14:editId="57A61FE4">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164AEF">
              <w:rPr>
                <w:rFonts w:ascii="Arial" w:hAnsi="Arial" w:cs="Arial"/>
                <w:sz w:val="28"/>
                <w:szCs w:val="28"/>
              </w:rPr>
              <w:t xml:space="preserve">ICT Ecosystems for Precision Medicine Initiatives </w:t>
            </w:r>
          </w:p>
          <w:p w14:paraId="65E2C918" w14:textId="36DCD282" w:rsidR="009C08C1" w:rsidRPr="00477B33" w:rsidRDefault="00FB3BCC" w:rsidP="009C08C1">
            <w:pPr>
              <w:pStyle w:val="Authorname"/>
              <w:spacing w:before="0"/>
              <w:ind w:left="2835"/>
              <w:rPr>
                <w:rFonts w:ascii="Arial" w:hAnsi="Arial" w:cs="Arial"/>
                <w:sz w:val="24"/>
                <w:szCs w:val="24"/>
              </w:rPr>
            </w:pPr>
            <w:r>
              <w:rPr>
                <w:rFonts w:ascii="Arial" w:hAnsi="Arial" w:cs="Arial"/>
                <w:b/>
                <w:sz w:val="24"/>
                <w:szCs w:val="24"/>
              </w:rPr>
              <w:t>Irini Fundulaki</w:t>
            </w:r>
            <w:r w:rsidR="009C08C1" w:rsidRPr="00BE2E35">
              <w:rPr>
                <w:rFonts w:ascii="Arial" w:hAnsi="Arial" w:cs="Arial"/>
                <w:b/>
                <w:sz w:val="24"/>
                <w:szCs w:val="24"/>
              </w:rPr>
              <w:t xml:space="preserve"> </w:t>
            </w:r>
            <w:r w:rsidR="009C08C1" w:rsidRPr="00BE2E35">
              <w:rPr>
                <w:rFonts w:ascii="Arial" w:hAnsi="Arial" w:cs="Arial"/>
                <w:sz w:val="24"/>
                <w:szCs w:val="24"/>
                <w:vertAlign w:val="superscript"/>
              </w:rPr>
              <w:t>1#,</w:t>
            </w:r>
            <w:r w:rsidR="009C08C1" w:rsidRPr="00BE2E35">
              <w:rPr>
                <w:rFonts w:ascii="Arial" w:hAnsi="Arial" w:cs="Arial"/>
                <w:sz w:val="24"/>
                <w:szCs w:val="24"/>
              </w:rPr>
              <w:t xml:space="preserve">, </w:t>
            </w:r>
            <w:r>
              <w:rPr>
                <w:rFonts w:ascii="Arial" w:hAnsi="Arial" w:cs="Arial"/>
                <w:b/>
                <w:sz w:val="24"/>
                <w:szCs w:val="24"/>
              </w:rPr>
              <w:t>Vassilis Papakonstantinou</w:t>
            </w:r>
            <w:r w:rsidR="009C08C1" w:rsidRPr="00BE2E35">
              <w:rPr>
                <w:rFonts w:ascii="Arial" w:hAnsi="Arial" w:cs="Arial"/>
                <w:b/>
                <w:sz w:val="24"/>
                <w:szCs w:val="24"/>
              </w:rPr>
              <w:t xml:space="preserve"> </w:t>
            </w:r>
            <w:r w:rsidRPr="00BE2E35">
              <w:rPr>
                <w:rFonts w:ascii="Arial" w:hAnsi="Arial" w:cs="Arial"/>
                <w:sz w:val="24"/>
                <w:szCs w:val="24"/>
                <w:vertAlign w:val="superscript"/>
              </w:rPr>
              <w:t>1</w:t>
            </w:r>
            <w:r>
              <w:rPr>
                <w:rFonts w:ascii="Arial" w:hAnsi="Arial" w:cs="Arial"/>
                <w:sz w:val="24"/>
                <w:szCs w:val="24"/>
                <w:vertAlign w:val="superscript"/>
              </w:rPr>
              <w:t xml:space="preserve">, </w:t>
            </w:r>
            <w:r>
              <w:rPr>
                <w:rFonts w:ascii="Arial" w:hAnsi="Arial" w:cs="Arial"/>
                <w:b/>
                <w:sz w:val="24"/>
                <w:szCs w:val="24"/>
              </w:rPr>
              <w:t>Tzanina Saveta</w:t>
            </w:r>
            <w:r w:rsidR="009C08C1" w:rsidRPr="00BE2E35">
              <w:rPr>
                <w:rFonts w:ascii="Arial" w:hAnsi="Arial" w:cs="Arial"/>
                <w:b/>
                <w:sz w:val="24"/>
                <w:szCs w:val="24"/>
              </w:rPr>
              <w:t xml:space="preserve"> </w:t>
            </w:r>
            <w:r w:rsidRPr="00BE2E35">
              <w:rPr>
                <w:rFonts w:ascii="Arial" w:hAnsi="Arial" w:cs="Arial"/>
                <w:sz w:val="24"/>
                <w:szCs w:val="24"/>
                <w:vertAlign w:val="superscript"/>
              </w:rPr>
              <w:t>1</w:t>
            </w:r>
            <w:r>
              <w:rPr>
                <w:rFonts w:ascii="Arial" w:hAnsi="Arial" w:cs="Arial"/>
                <w:sz w:val="24"/>
                <w:szCs w:val="24"/>
                <w:vertAlign w:val="superscript"/>
              </w:rPr>
              <w:t xml:space="preserve">, </w:t>
            </w:r>
            <w:r>
              <w:rPr>
                <w:rFonts w:ascii="Arial" w:hAnsi="Arial" w:cs="Arial"/>
                <w:b/>
                <w:sz w:val="24"/>
                <w:szCs w:val="24"/>
              </w:rPr>
              <w:t xml:space="preserve"> </w:t>
            </w:r>
            <w:r w:rsidRPr="00FB3BCC">
              <w:rPr>
                <w:rFonts w:ascii="Arial" w:hAnsi="Arial" w:cs="Arial"/>
                <w:bCs/>
                <w:sz w:val="24"/>
                <w:szCs w:val="24"/>
              </w:rPr>
              <w:t xml:space="preserve">and </w:t>
            </w:r>
            <w:r w:rsidRPr="00FB3BCC">
              <w:rPr>
                <w:rFonts w:ascii="Arial" w:hAnsi="Arial" w:cs="Arial"/>
                <w:b/>
                <w:sz w:val="24"/>
                <w:szCs w:val="24"/>
              </w:rPr>
              <w:t>Yannis Rousakis</w:t>
            </w:r>
            <w:r w:rsidRPr="00BE2E35">
              <w:rPr>
                <w:rFonts w:ascii="Arial" w:hAnsi="Arial" w:cs="Arial"/>
                <w:sz w:val="24"/>
                <w:szCs w:val="24"/>
                <w:vertAlign w:val="superscript"/>
              </w:rPr>
              <w:t>1</w:t>
            </w:r>
          </w:p>
          <w:p w14:paraId="4849900F" w14:textId="40857290"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FB3BCC">
              <w:rPr>
                <w:rFonts w:ascii="Arial" w:hAnsi="Arial" w:cs="Arial"/>
                <w:sz w:val="18"/>
                <w:szCs w:val="18"/>
              </w:rPr>
              <w:t>Institute of Computer Science - FORTH</w:t>
            </w:r>
          </w:p>
          <w:p w14:paraId="2F6A4166" w14:textId="55D301FF"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xml:space="preserve"># Presenting author: </w:t>
            </w:r>
            <w:r w:rsidR="00FB3BCC">
              <w:rPr>
                <w:sz w:val="16"/>
                <w:szCs w:val="16"/>
                <w:lang w:val="en-US"/>
              </w:rPr>
              <w:t>Irini Fundulaki, fundul@ics.forth.gr</w:t>
            </w:r>
          </w:p>
          <w:p w14:paraId="1A5BBBB3" w14:textId="497A6124"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xml:space="preserve">* Corresponding author: </w:t>
            </w:r>
            <w:r w:rsidR="00477B33">
              <w:rPr>
                <w:sz w:val="16"/>
                <w:szCs w:val="16"/>
                <w:lang w:val="en-US"/>
              </w:rPr>
              <w:t>Irini Fundulaki, fundul@ics.forth.gr</w:t>
            </w:r>
          </w:p>
        </w:tc>
      </w:tr>
    </w:tbl>
    <w:p w14:paraId="49FE1ECC" w14:textId="77777777" w:rsidR="00770740" w:rsidRDefault="00770740" w:rsidP="00740FF0">
      <w:pPr>
        <w:rPr>
          <w:lang w:val="en-US"/>
        </w:rPr>
        <w:sectPr w:rsidR="00770740" w:rsidSect="00EC0AC6">
          <w:footerReference w:type="default" r:id="rId9"/>
          <w:pgSz w:w="11906" w:h="16838"/>
          <w:pgMar w:top="1560" w:right="1800" w:bottom="1440" w:left="1800" w:header="708" w:footer="657" w:gutter="0"/>
          <w:cols w:space="708"/>
          <w:docGrid w:linePitch="360"/>
        </w:sectPr>
      </w:pPr>
    </w:p>
    <w:p w14:paraId="34F057B8"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6838B036" w14:textId="562EF6C9" w:rsidR="002742E1" w:rsidRDefault="0085764E" w:rsidP="009E6243">
      <w:pPr>
        <w:pStyle w:val="AbstractText"/>
        <w:spacing w:after="120" w:line="240" w:lineRule="auto"/>
        <w:ind w:right="-23" w:firstLine="284"/>
        <w:rPr>
          <w:rFonts w:ascii="Arial" w:hAnsi="Arial" w:cs="Arial"/>
          <w:sz w:val="22"/>
          <w:szCs w:val="22"/>
          <w:lang w:val="en-GB"/>
        </w:rPr>
      </w:pPr>
      <w:r>
        <w:rPr>
          <w:rFonts w:ascii="Arial" w:hAnsi="Arial" w:cs="Arial"/>
          <w:sz w:val="22"/>
          <w:szCs w:val="22"/>
          <w:lang w:val="en-GB"/>
        </w:rPr>
        <w:t>Precision</w:t>
      </w:r>
      <w:r w:rsidR="002742E1" w:rsidRPr="002742E1">
        <w:rPr>
          <w:rFonts w:ascii="Arial" w:hAnsi="Arial" w:cs="Arial"/>
          <w:sz w:val="22"/>
          <w:szCs w:val="22"/>
          <w:lang w:val="en-GB"/>
        </w:rPr>
        <w:t xml:space="preserve"> medicine is an </w:t>
      </w:r>
      <w:r w:rsidR="002742E1" w:rsidRPr="002742E1">
        <w:rPr>
          <w:rFonts w:ascii="Arial" w:hAnsi="Arial" w:cs="Arial"/>
          <w:i/>
          <w:sz w:val="22"/>
          <w:szCs w:val="22"/>
          <w:lang w:val="en-GB"/>
        </w:rPr>
        <w:t>“emerging approach for disease treatment and prevention that takes into account individual variability in genes, environment, and lifestyle for each person”</w:t>
      </w:r>
      <w:r w:rsidR="002742E1" w:rsidRPr="002742E1">
        <w:rPr>
          <w:rFonts w:ascii="Arial" w:hAnsi="Arial" w:cs="Arial"/>
          <w:sz w:val="22"/>
          <w:szCs w:val="22"/>
          <w:lang w:val="en-GB"/>
        </w:rPr>
        <w:t xml:space="preserve">. Precision Medicine allows treating doctors to decide on the appropriate treatment for a patient who is suffering from a specific disease and who has a specific genotype. </w:t>
      </w:r>
      <w:r>
        <w:rPr>
          <w:rFonts w:ascii="Arial" w:hAnsi="Arial" w:cs="Arial"/>
          <w:sz w:val="22"/>
          <w:szCs w:val="22"/>
          <w:lang w:val="en-GB"/>
        </w:rPr>
        <w:t>This</w:t>
      </w:r>
      <w:r w:rsidR="002742E1" w:rsidRPr="002742E1">
        <w:rPr>
          <w:rFonts w:ascii="Arial" w:hAnsi="Arial" w:cs="Arial"/>
          <w:sz w:val="22"/>
          <w:szCs w:val="22"/>
          <w:lang w:val="en-GB"/>
        </w:rPr>
        <w:t xml:space="preserve"> approach </w:t>
      </w:r>
      <w:r w:rsidR="002742E1" w:rsidRPr="002742E1">
        <w:rPr>
          <w:rFonts w:ascii="Arial" w:hAnsi="Arial" w:cs="Arial"/>
          <w:i/>
          <w:sz w:val="22"/>
          <w:szCs w:val="22"/>
          <w:lang w:val="en-GB"/>
        </w:rPr>
        <w:t>differs from the traditional approach</w:t>
      </w:r>
      <w:r w:rsidR="002742E1" w:rsidRPr="002742E1">
        <w:rPr>
          <w:rFonts w:ascii="Arial" w:hAnsi="Arial" w:cs="Arial"/>
          <w:sz w:val="22"/>
          <w:szCs w:val="22"/>
          <w:lang w:val="en-GB"/>
        </w:rPr>
        <w:t xml:space="preserve"> in which the treatment of diseases follows a </w:t>
      </w:r>
      <w:r w:rsidR="002742E1" w:rsidRPr="002742E1">
        <w:rPr>
          <w:rFonts w:ascii="Arial" w:hAnsi="Arial" w:cs="Arial"/>
          <w:i/>
          <w:sz w:val="22"/>
          <w:szCs w:val="22"/>
          <w:lang w:val="en-GB"/>
        </w:rPr>
        <w:t>“one-size-fits-all” approach</w:t>
      </w:r>
      <w:r w:rsidR="002742E1" w:rsidRPr="002742E1">
        <w:rPr>
          <w:rFonts w:ascii="Arial" w:hAnsi="Arial" w:cs="Arial"/>
          <w:sz w:val="22"/>
          <w:szCs w:val="22"/>
          <w:lang w:val="en-GB"/>
        </w:rPr>
        <w:t xml:space="preserve"> focusing on the average person without considering the differences exhibited by the various patients. </w:t>
      </w:r>
      <w:r w:rsidR="00E7025D" w:rsidRPr="00E7025D">
        <w:rPr>
          <w:rFonts w:ascii="Arial" w:hAnsi="Arial" w:cs="Arial"/>
          <w:sz w:val="22"/>
          <w:szCs w:val="22"/>
          <w:lang w:val="en-GB"/>
        </w:rPr>
        <w:t xml:space="preserve">Precision medicine is a model in which the </w:t>
      </w:r>
      <w:r w:rsidR="00E7025D" w:rsidRPr="00E7025D">
        <w:rPr>
          <w:rFonts w:ascii="Arial" w:hAnsi="Arial" w:cs="Arial"/>
          <w:i/>
          <w:sz w:val="22"/>
          <w:szCs w:val="22"/>
          <w:lang w:val="en-GB"/>
        </w:rPr>
        <w:t>individuals’ phenotype</w:t>
      </w:r>
      <w:r w:rsidR="00E7025D" w:rsidRPr="00E7025D">
        <w:rPr>
          <w:rFonts w:ascii="Arial" w:hAnsi="Arial" w:cs="Arial"/>
          <w:sz w:val="22"/>
          <w:szCs w:val="22"/>
          <w:lang w:val="en-GB"/>
        </w:rPr>
        <w:t xml:space="preserve"> and </w:t>
      </w:r>
      <w:r w:rsidR="00E7025D" w:rsidRPr="00E7025D">
        <w:rPr>
          <w:rFonts w:ascii="Arial" w:hAnsi="Arial" w:cs="Arial"/>
          <w:i/>
          <w:sz w:val="22"/>
          <w:szCs w:val="22"/>
          <w:lang w:val="en-GB"/>
        </w:rPr>
        <w:t>genes</w:t>
      </w:r>
      <w:r w:rsidR="00E7025D" w:rsidRPr="00E7025D">
        <w:rPr>
          <w:rFonts w:ascii="Arial" w:hAnsi="Arial" w:cs="Arial"/>
          <w:sz w:val="22"/>
          <w:szCs w:val="22"/>
          <w:lang w:val="en-GB"/>
        </w:rPr>
        <w:t xml:space="preserve">, </w:t>
      </w:r>
      <w:r w:rsidR="00E7025D" w:rsidRPr="00E7025D">
        <w:rPr>
          <w:rFonts w:ascii="Arial" w:hAnsi="Arial" w:cs="Arial"/>
          <w:i/>
          <w:sz w:val="22"/>
          <w:szCs w:val="22"/>
          <w:lang w:val="en-GB"/>
        </w:rPr>
        <w:t>environment</w:t>
      </w:r>
      <w:r w:rsidR="00E7025D" w:rsidRPr="00E7025D">
        <w:rPr>
          <w:rFonts w:ascii="Arial" w:hAnsi="Arial" w:cs="Arial"/>
          <w:sz w:val="22"/>
          <w:szCs w:val="22"/>
          <w:lang w:val="en-GB"/>
        </w:rPr>
        <w:t xml:space="preserve">, and </w:t>
      </w:r>
      <w:r w:rsidR="00E7025D" w:rsidRPr="00E7025D">
        <w:rPr>
          <w:rFonts w:ascii="Arial" w:hAnsi="Arial" w:cs="Arial"/>
          <w:i/>
          <w:sz w:val="22"/>
          <w:szCs w:val="22"/>
          <w:lang w:val="en-GB"/>
        </w:rPr>
        <w:t>lifestyle</w:t>
      </w:r>
      <w:r w:rsidR="00E7025D" w:rsidRPr="00E7025D">
        <w:rPr>
          <w:rFonts w:ascii="Arial" w:hAnsi="Arial" w:cs="Arial"/>
          <w:sz w:val="22"/>
          <w:szCs w:val="22"/>
          <w:lang w:val="en-GB"/>
        </w:rPr>
        <w:t xml:space="preserve"> are used as </w:t>
      </w:r>
      <w:r w:rsidR="00E7025D" w:rsidRPr="00E7025D">
        <w:rPr>
          <w:rFonts w:ascii="Arial" w:hAnsi="Arial" w:cs="Arial"/>
          <w:i/>
          <w:sz w:val="22"/>
          <w:szCs w:val="22"/>
          <w:lang w:val="en-GB"/>
        </w:rPr>
        <w:t>additional layers of patient data</w:t>
      </w:r>
      <w:r w:rsidR="00E7025D" w:rsidRPr="00E7025D">
        <w:rPr>
          <w:rFonts w:ascii="Arial" w:hAnsi="Arial" w:cs="Arial"/>
          <w:sz w:val="22"/>
          <w:szCs w:val="22"/>
          <w:lang w:val="en-GB"/>
        </w:rPr>
        <w:t xml:space="preserve"> in d</w:t>
      </w:r>
      <w:r w:rsidR="00E7025D" w:rsidRPr="00E7025D">
        <w:rPr>
          <w:rFonts w:ascii="Arial" w:hAnsi="Arial" w:cs="Arial"/>
          <w:i/>
          <w:sz w:val="22"/>
          <w:szCs w:val="22"/>
          <w:lang w:val="en-GB"/>
        </w:rPr>
        <w:t>isease treatment and prevention plans</w:t>
      </w:r>
      <w:r w:rsidR="00E7025D" w:rsidRPr="00E7025D">
        <w:rPr>
          <w:rFonts w:ascii="Arial" w:hAnsi="Arial" w:cs="Arial"/>
          <w:sz w:val="22"/>
          <w:szCs w:val="22"/>
          <w:lang w:val="en-GB"/>
        </w:rPr>
        <w:t>.</w:t>
      </w:r>
    </w:p>
    <w:p w14:paraId="377B0394" w14:textId="6AB5072F" w:rsidR="00E7025D" w:rsidRPr="00E7025D" w:rsidRDefault="0079732E" w:rsidP="009E6243">
      <w:pPr>
        <w:pStyle w:val="AbstractText"/>
        <w:spacing w:after="120" w:line="240" w:lineRule="auto"/>
        <w:ind w:right="-23" w:firstLine="284"/>
        <w:rPr>
          <w:rFonts w:ascii="Arial" w:hAnsi="Arial" w:cs="Arial"/>
          <w:sz w:val="22"/>
          <w:szCs w:val="22"/>
          <w:lang w:val="en-GB"/>
        </w:rPr>
      </w:pPr>
      <w:r>
        <w:rPr>
          <w:rFonts w:ascii="Arial" w:hAnsi="Arial" w:cs="Arial"/>
          <w:sz w:val="22"/>
          <w:szCs w:val="22"/>
          <w:lang w:val="en-GB"/>
        </w:rPr>
        <w:t>The Institute of Computer Science has</w:t>
      </w:r>
      <w:r w:rsidR="009E6243">
        <w:rPr>
          <w:rFonts w:ascii="Arial" w:hAnsi="Arial" w:cs="Arial"/>
          <w:sz w:val="22"/>
          <w:szCs w:val="22"/>
          <w:lang w:val="en-GB"/>
        </w:rPr>
        <w:t xml:space="preserve"> been involved</w:t>
      </w:r>
      <w:r>
        <w:rPr>
          <w:rFonts w:ascii="Arial" w:hAnsi="Arial" w:cs="Arial"/>
          <w:sz w:val="22"/>
          <w:szCs w:val="22"/>
          <w:lang w:val="en-GB"/>
        </w:rPr>
        <w:t xml:space="preserve"> in</w:t>
      </w:r>
      <w:r w:rsidR="00E7025D" w:rsidRPr="00E7025D">
        <w:rPr>
          <w:rFonts w:ascii="Arial" w:hAnsi="Arial" w:cs="Arial"/>
          <w:sz w:val="22"/>
          <w:szCs w:val="22"/>
          <w:lang w:val="en-GB"/>
        </w:rPr>
        <w:t xml:space="preserve"> the following Precision Medicine initiatives:</w:t>
      </w:r>
    </w:p>
    <w:p w14:paraId="1B12BD45" w14:textId="7CAA2393" w:rsidR="00E7025D" w:rsidRDefault="00E7025D" w:rsidP="009E6243">
      <w:pPr>
        <w:pStyle w:val="AbstractText"/>
        <w:numPr>
          <w:ilvl w:val="0"/>
          <w:numId w:val="3"/>
        </w:numPr>
        <w:spacing w:after="120" w:line="240" w:lineRule="auto"/>
        <w:ind w:right="-23"/>
        <w:rPr>
          <w:rFonts w:ascii="Arial" w:hAnsi="Arial" w:cs="Arial"/>
          <w:sz w:val="22"/>
          <w:szCs w:val="22"/>
          <w:lang w:val="en-GB"/>
        </w:rPr>
      </w:pPr>
      <w:r>
        <w:rPr>
          <w:rFonts w:ascii="Arial" w:hAnsi="Arial" w:cs="Arial"/>
          <w:sz w:val="22"/>
          <w:szCs w:val="22"/>
          <w:lang w:val="en-GB"/>
        </w:rPr>
        <w:t>The Hellenic Precision Medicine in Oncology</w:t>
      </w:r>
      <w:r w:rsidR="009E6243">
        <w:rPr>
          <w:rStyle w:val="FootnoteReference"/>
          <w:rFonts w:ascii="Arial" w:hAnsi="Arial" w:cs="Arial"/>
          <w:sz w:val="22"/>
          <w:szCs w:val="22"/>
          <w:lang w:val="en-GB"/>
        </w:rPr>
        <w:t xml:space="preserve"> </w:t>
      </w:r>
      <w:r w:rsidR="009E6243">
        <w:rPr>
          <w:rFonts w:ascii="Arial" w:hAnsi="Arial" w:cs="Arial"/>
          <w:sz w:val="22"/>
          <w:szCs w:val="22"/>
          <w:lang w:val="en-GB"/>
        </w:rPr>
        <w:t>(</w:t>
      </w:r>
      <w:hyperlink r:id="rId10" w:history="1">
        <w:r w:rsidR="009E6243" w:rsidRPr="009E6243">
          <w:rPr>
            <w:rStyle w:val="Hyperlink"/>
            <w:rFonts w:ascii="Arial" w:hAnsi="Arial" w:cs="Arial"/>
            <w:sz w:val="22"/>
            <w:szCs w:val="22"/>
            <w:lang w:val="en-GB"/>
          </w:rPr>
          <w:t>oncopmnet.gr</w:t>
        </w:r>
      </w:hyperlink>
      <w:r w:rsidR="009E6243">
        <w:rPr>
          <w:rFonts w:ascii="Arial" w:hAnsi="Arial" w:cs="Arial"/>
          <w:sz w:val="22"/>
          <w:szCs w:val="22"/>
          <w:lang w:val="en-GB"/>
        </w:rPr>
        <w:t>)</w:t>
      </w:r>
    </w:p>
    <w:p w14:paraId="054514B8" w14:textId="0C50BA20" w:rsidR="00E7025D" w:rsidRPr="00E7025D" w:rsidRDefault="00E7025D" w:rsidP="009E6243">
      <w:pPr>
        <w:pStyle w:val="AbstractText"/>
        <w:numPr>
          <w:ilvl w:val="0"/>
          <w:numId w:val="3"/>
        </w:numPr>
        <w:spacing w:after="120" w:line="240" w:lineRule="auto"/>
        <w:ind w:right="-23"/>
        <w:rPr>
          <w:rFonts w:ascii="Arial" w:hAnsi="Arial" w:cs="Arial"/>
          <w:sz w:val="22"/>
          <w:szCs w:val="22"/>
          <w:lang w:val="en-GB"/>
        </w:rPr>
      </w:pPr>
      <w:r>
        <w:rPr>
          <w:rFonts w:ascii="Arial" w:hAnsi="Arial" w:cs="Arial"/>
          <w:sz w:val="22"/>
          <w:szCs w:val="22"/>
          <w:lang w:val="en-GB"/>
        </w:rPr>
        <w:t>The</w:t>
      </w:r>
      <w:r w:rsidRPr="00E7025D">
        <w:rPr>
          <w:rFonts w:ascii="Arial" w:hAnsi="Arial" w:cs="Arial"/>
          <w:sz w:val="22"/>
          <w:szCs w:val="22"/>
          <w:lang w:val="en-GB"/>
        </w:rPr>
        <w:t xml:space="preserve"> National Network </w:t>
      </w:r>
      <w:r>
        <w:rPr>
          <w:rFonts w:ascii="Arial" w:hAnsi="Arial" w:cs="Arial"/>
          <w:sz w:val="22"/>
          <w:szCs w:val="22"/>
          <w:lang w:val="en-GB"/>
        </w:rPr>
        <w:t>for</w:t>
      </w:r>
      <w:r w:rsidRPr="00E7025D">
        <w:rPr>
          <w:rFonts w:ascii="Arial" w:hAnsi="Arial" w:cs="Arial"/>
          <w:sz w:val="22"/>
          <w:szCs w:val="22"/>
          <w:lang w:val="en-GB"/>
        </w:rPr>
        <w:t xml:space="preserve"> Genetic Cardiovascular Diseases Study </w:t>
      </w:r>
      <w:r>
        <w:rPr>
          <w:rFonts w:ascii="Arial" w:hAnsi="Arial" w:cs="Arial"/>
          <w:sz w:val="22"/>
          <w:szCs w:val="22"/>
          <w:lang w:val="en-GB"/>
        </w:rPr>
        <w:t>and</w:t>
      </w:r>
      <w:r w:rsidRPr="00E7025D">
        <w:rPr>
          <w:rFonts w:ascii="Arial" w:hAnsi="Arial" w:cs="Arial"/>
          <w:sz w:val="22"/>
          <w:szCs w:val="22"/>
          <w:lang w:val="en-GB"/>
        </w:rPr>
        <w:t xml:space="preserve"> Prevention </w:t>
      </w:r>
      <w:r>
        <w:rPr>
          <w:rFonts w:ascii="Arial" w:hAnsi="Arial" w:cs="Arial"/>
          <w:sz w:val="22"/>
          <w:szCs w:val="22"/>
          <w:lang w:val="en-GB"/>
        </w:rPr>
        <w:t>o</w:t>
      </w:r>
      <w:r w:rsidRPr="00E7025D">
        <w:rPr>
          <w:rFonts w:ascii="Arial" w:hAnsi="Arial" w:cs="Arial"/>
          <w:sz w:val="22"/>
          <w:szCs w:val="22"/>
          <w:lang w:val="en-GB"/>
        </w:rPr>
        <w:t xml:space="preserve">f Sudden Death </w:t>
      </w:r>
      <w:r w:rsidR="0079732E">
        <w:rPr>
          <w:rFonts w:ascii="Arial" w:hAnsi="Arial" w:cs="Arial"/>
          <w:sz w:val="22"/>
          <w:szCs w:val="22"/>
          <w:lang w:val="en-GB"/>
        </w:rPr>
        <w:t>in</w:t>
      </w:r>
      <w:r w:rsidRPr="00E7025D">
        <w:rPr>
          <w:rFonts w:ascii="Arial" w:hAnsi="Arial" w:cs="Arial"/>
          <w:sz w:val="22"/>
          <w:szCs w:val="22"/>
          <w:lang w:val="en-GB"/>
        </w:rPr>
        <w:t xml:space="preserve"> The Young </w:t>
      </w:r>
      <w:r w:rsidR="00E359EB">
        <w:rPr>
          <w:rFonts w:ascii="Arial" w:hAnsi="Arial" w:cs="Arial"/>
          <w:sz w:val="22"/>
          <w:szCs w:val="22"/>
          <w:lang w:val="en-GB"/>
        </w:rPr>
        <w:t>on</w:t>
      </w:r>
      <w:r w:rsidRPr="00E7025D">
        <w:rPr>
          <w:rFonts w:ascii="Arial" w:hAnsi="Arial" w:cs="Arial"/>
          <w:sz w:val="22"/>
          <w:szCs w:val="22"/>
          <w:lang w:val="en-GB"/>
        </w:rPr>
        <w:t xml:space="preserve"> The Basis Of Precision Medicine</w:t>
      </w:r>
      <w:r>
        <w:rPr>
          <w:rStyle w:val="FootnoteReference"/>
          <w:rFonts w:ascii="Arial" w:hAnsi="Arial" w:cs="Arial"/>
          <w:sz w:val="22"/>
          <w:szCs w:val="22"/>
          <w:lang w:val="en-GB"/>
        </w:rPr>
        <w:footnoteReference w:id="1"/>
      </w:r>
      <w:r w:rsidRPr="00E7025D">
        <w:rPr>
          <w:rFonts w:ascii="Arial" w:hAnsi="Arial" w:cs="Arial"/>
          <w:sz w:val="22"/>
          <w:szCs w:val="22"/>
          <w:lang w:val="en-GB"/>
        </w:rPr>
        <w:t xml:space="preserve"> </w:t>
      </w:r>
      <w:r w:rsidR="009E6243">
        <w:rPr>
          <w:rFonts w:ascii="Arial" w:hAnsi="Arial" w:cs="Arial"/>
          <w:sz w:val="22"/>
          <w:szCs w:val="22"/>
          <w:lang w:val="en-GB"/>
        </w:rPr>
        <w:t>(</w:t>
      </w:r>
      <w:hyperlink r:id="rId11" w:history="1">
        <w:r w:rsidR="009E6243" w:rsidRPr="009E6243">
          <w:rPr>
            <w:rStyle w:val="Hyperlink"/>
            <w:rFonts w:ascii="Arial" w:hAnsi="Arial" w:cs="Arial"/>
            <w:sz w:val="22"/>
            <w:szCs w:val="22"/>
            <w:lang w:val="en-GB"/>
          </w:rPr>
          <w:t>icardiacnet.gr</w:t>
        </w:r>
      </w:hyperlink>
      <w:r w:rsidR="009E6243">
        <w:rPr>
          <w:rFonts w:ascii="Arial" w:hAnsi="Arial" w:cs="Arial"/>
          <w:sz w:val="22"/>
          <w:szCs w:val="22"/>
          <w:lang w:val="en-GB"/>
        </w:rPr>
        <w:t>)</w:t>
      </w:r>
    </w:p>
    <w:p w14:paraId="4638830D" w14:textId="563BA081" w:rsidR="00E7025D" w:rsidRDefault="00E7025D" w:rsidP="009E6243">
      <w:pPr>
        <w:pStyle w:val="AbstractText"/>
        <w:numPr>
          <w:ilvl w:val="0"/>
          <w:numId w:val="3"/>
        </w:numPr>
        <w:spacing w:after="120" w:line="240" w:lineRule="auto"/>
        <w:ind w:right="-23"/>
        <w:rPr>
          <w:rFonts w:ascii="Arial" w:hAnsi="Arial" w:cs="Arial"/>
          <w:sz w:val="22"/>
          <w:szCs w:val="22"/>
          <w:lang w:val="en-GB"/>
        </w:rPr>
      </w:pPr>
      <w:r w:rsidRPr="00E7025D">
        <w:rPr>
          <w:rFonts w:ascii="Arial" w:hAnsi="Arial" w:cs="Arial"/>
          <w:sz w:val="22"/>
          <w:szCs w:val="22"/>
          <w:lang w:val="en-GB"/>
        </w:rPr>
        <w:t>The National Research Network for Genetic Neurodegenerative Diseases</w:t>
      </w:r>
      <w:r>
        <w:rPr>
          <w:rStyle w:val="FootnoteReference"/>
          <w:rFonts w:ascii="Arial" w:hAnsi="Arial" w:cs="Arial"/>
          <w:sz w:val="22"/>
          <w:szCs w:val="22"/>
          <w:lang w:val="en-GB"/>
        </w:rPr>
        <w:footnoteReference w:id="2"/>
      </w:r>
      <w:r w:rsidRPr="00E7025D">
        <w:rPr>
          <w:rFonts w:ascii="Arial" w:hAnsi="Arial" w:cs="Arial"/>
          <w:sz w:val="22"/>
          <w:szCs w:val="22"/>
          <w:lang w:val="en-GB"/>
        </w:rPr>
        <w:t xml:space="preserve"> </w:t>
      </w:r>
      <w:r w:rsidR="009E6243">
        <w:rPr>
          <w:rFonts w:ascii="Arial" w:hAnsi="Arial" w:cs="Arial"/>
          <w:sz w:val="22"/>
          <w:szCs w:val="22"/>
          <w:lang w:val="en-GB"/>
        </w:rPr>
        <w:t>(</w:t>
      </w:r>
      <w:hyperlink r:id="rId12" w:history="1">
        <w:r w:rsidR="009E6243" w:rsidRPr="009E6243">
          <w:rPr>
            <w:rStyle w:val="Hyperlink"/>
            <w:rFonts w:ascii="Arial" w:hAnsi="Arial" w:cs="Arial"/>
            <w:sz w:val="22"/>
            <w:szCs w:val="22"/>
            <w:lang w:val="en-GB"/>
          </w:rPr>
          <w:t>neuropmnet.gr</w:t>
        </w:r>
      </w:hyperlink>
      <w:r w:rsidR="009E6243">
        <w:rPr>
          <w:rFonts w:ascii="Arial" w:hAnsi="Arial" w:cs="Arial"/>
          <w:sz w:val="22"/>
          <w:szCs w:val="22"/>
          <w:lang w:val="en-GB"/>
        </w:rPr>
        <w:t>)</w:t>
      </w:r>
    </w:p>
    <w:p w14:paraId="08A4C5DC" w14:textId="0F32B74B" w:rsidR="00E7025D" w:rsidRPr="00E7025D" w:rsidRDefault="00E7025D" w:rsidP="009E6243">
      <w:pPr>
        <w:pStyle w:val="AbstractText"/>
        <w:numPr>
          <w:ilvl w:val="0"/>
          <w:numId w:val="3"/>
        </w:numPr>
        <w:spacing w:after="120" w:line="240" w:lineRule="auto"/>
        <w:ind w:right="-23"/>
        <w:rPr>
          <w:rFonts w:ascii="Arial" w:hAnsi="Arial" w:cs="Arial"/>
          <w:sz w:val="22"/>
          <w:szCs w:val="22"/>
          <w:lang w:val="en-GB"/>
        </w:rPr>
      </w:pPr>
      <w:r w:rsidRPr="00E7025D">
        <w:rPr>
          <w:rFonts w:ascii="Arial" w:hAnsi="Arial" w:cs="Arial"/>
          <w:sz w:val="22"/>
          <w:szCs w:val="22"/>
          <w:lang w:val="en-GB"/>
        </w:rPr>
        <w:t xml:space="preserve">National </w:t>
      </w:r>
      <w:r w:rsidR="00E359EB">
        <w:rPr>
          <w:rFonts w:ascii="Arial" w:hAnsi="Arial" w:cs="Arial"/>
          <w:sz w:val="22"/>
          <w:szCs w:val="22"/>
          <w:lang w:val="en-GB"/>
        </w:rPr>
        <w:t>R</w:t>
      </w:r>
      <w:r w:rsidRPr="00E7025D">
        <w:rPr>
          <w:rFonts w:ascii="Arial" w:hAnsi="Arial" w:cs="Arial"/>
          <w:sz w:val="22"/>
          <w:szCs w:val="22"/>
          <w:lang w:val="en-GB"/>
        </w:rPr>
        <w:t xml:space="preserve">esearch network to </w:t>
      </w:r>
      <w:r w:rsidR="009E6243">
        <w:rPr>
          <w:rFonts w:ascii="Arial" w:hAnsi="Arial" w:cs="Arial"/>
          <w:sz w:val="22"/>
          <w:szCs w:val="22"/>
          <w:lang w:val="en-GB"/>
        </w:rPr>
        <w:t>e</w:t>
      </w:r>
      <w:r w:rsidRPr="00E7025D">
        <w:rPr>
          <w:rFonts w:ascii="Arial" w:hAnsi="Arial" w:cs="Arial"/>
          <w:sz w:val="22"/>
          <w:szCs w:val="22"/>
          <w:lang w:val="en-GB"/>
        </w:rPr>
        <w:t>lucidate the genetic basis of Alzheimer's and Parkinson's neurodegenerative diseases, detect reliable biomarkers, and develop innovative computational technologies and therapeutic strategies underpinning precision medicine</w:t>
      </w:r>
    </w:p>
    <w:p w14:paraId="01086A02" w14:textId="2458BB9E" w:rsidR="00E7025D" w:rsidRDefault="00E7025D" w:rsidP="009E6243">
      <w:pPr>
        <w:pStyle w:val="AbstractText"/>
        <w:numPr>
          <w:ilvl w:val="0"/>
          <w:numId w:val="3"/>
        </w:numPr>
        <w:spacing w:after="120" w:line="240" w:lineRule="auto"/>
        <w:ind w:right="-23"/>
        <w:rPr>
          <w:rFonts w:ascii="Arial" w:hAnsi="Arial" w:cs="Arial"/>
          <w:sz w:val="22"/>
          <w:szCs w:val="22"/>
          <w:lang w:val="en-GB"/>
        </w:rPr>
      </w:pPr>
      <w:r w:rsidRPr="00E7025D">
        <w:rPr>
          <w:rFonts w:ascii="Arial" w:hAnsi="Arial" w:cs="Arial"/>
          <w:sz w:val="22"/>
          <w:szCs w:val="22"/>
          <w:lang w:val="en-GB"/>
        </w:rPr>
        <w:t>The Hellenic Network on Molecular Oncology</w:t>
      </w:r>
      <w:r w:rsidR="009E6243">
        <w:rPr>
          <w:rFonts w:ascii="Arial" w:hAnsi="Arial" w:cs="Arial"/>
          <w:sz w:val="22"/>
          <w:szCs w:val="22"/>
          <w:lang w:val="en-GB"/>
        </w:rPr>
        <w:t xml:space="preserve"> (</w:t>
      </w:r>
      <w:hyperlink r:id="rId13" w:history="1">
        <w:r w:rsidR="009E6243" w:rsidRPr="009E6243">
          <w:rPr>
            <w:rStyle w:val="Hyperlink"/>
            <w:rFonts w:ascii="Arial" w:hAnsi="Arial" w:cs="Arial"/>
            <w:sz w:val="22"/>
            <w:szCs w:val="22"/>
            <w:lang w:val="en-GB"/>
          </w:rPr>
          <w:t>edimo.gr)</w:t>
        </w:r>
      </w:hyperlink>
    </w:p>
    <w:p w14:paraId="6D1062F8" w14:textId="48C86267" w:rsidR="00E7025D" w:rsidRPr="002742E1" w:rsidRDefault="0085764E" w:rsidP="009E6243">
      <w:pPr>
        <w:pStyle w:val="AbstractText"/>
        <w:spacing w:after="120" w:line="240" w:lineRule="auto"/>
        <w:ind w:right="-23" w:firstLine="284"/>
        <w:rPr>
          <w:rFonts w:ascii="Arial" w:hAnsi="Arial" w:cs="Arial"/>
          <w:sz w:val="22"/>
          <w:szCs w:val="22"/>
        </w:rPr>
      </w:pPr>
      <w:r>
        <w:rPr>
          <w:rFonts w:ascii="Arial" w:hAnsi="Arial" w:cs="Arial"/>
          <w:sz w:val="22"/>
          <w:szCs w:val="22"/>
          <w:lang w:val="en-GB"/>
        </w:rPr>
        <w:t xml:space="preserve">In this poster we discuss </w:t>
      </w:r>
      <w:r w:rsidRPr="0085764E">
        <w:rPr>
          <w:rFonts w:ascii="Arial" w:hAnsi="Arial" w:cs="Arial"/>
          <w:sz w:val="22"/>
          <w:szCs w:val="22"/>
          <w:lang w:val="en-GB"/>
        </w:rPr>
        <w:t>the innovative ICT Ecosystem</w:t>
      </w:r>
      <w:r w:rsidR="00216740">
        <w:rPr>
          <w:rFonts w:ascii="Arial" w:hAnsi="Arial" w:cs="Arial"/>
          <w:sz w:val="22"/>
          <w:szCs w:val="22"/>
          <w:lang w:val="en-GB"/>
        </w:rPr>
        <w:t>s</w:t>
      </w:r>
      <w:r w:rsidRPr="0085764E">
        <w:rPr>
          <w:rFonts w:ascii="Arial" w:hAnsi="Arial" w:cs="Arial"/>
          <w:sz w:val="22"/>
          <w:szCs w:val="22"/>
          <w:lang w:val="en-GB"/>
        </w:rPr>
        <w:t xml:space="preserve"> [</w:t>
      </w:r>
      <w:r>
        <w:rPr>
          <w:rFonts w:ascii="Arial" w:hAnsi="Arial" w:cs="Arial"/>
          <w:sz w:val="22"/>
          <w:szCs w:val="22"/>
          <w:lang w:val="en-GB"/>
        </w:rPr>
        <w:t>1</w:t>
      </w:r>
      <w:r w:rsidRPr="0085764E">
        <w:rPr>
          <w:rFonts w:ascii="Arial" w:hAnsi="Arial" w:cs="Arial"/>
          <w:sz w:val="22"/>
          <w:szCs w:val="22"/>
          <w:lang w:val="en-GB"/>
        </w:rPr>
        <w:t xml:space="preserve">] we implemented in the context of </w:t>
      </w:r>
      <w:r>
        <w:rPr>
          <w:rFonts w:ascii="Arial" w:hAnsi="Arial" w:cs="Arial"/>
          <w:sz w:val="22"/>
          <w:szCs w:val="22"/>
          <w:lang w:val="en-GB"/>
        </w:rPr>
        <w:t>Networks (2) – (5).</w:t>
      </w:r>
      <w:r w:rsidRPr="0085764E">
        <w:rPr>
          <w:rFonts w:ascii="Arial" w:hAnsi="Arial" w:cs="Arial"/>
          <w:sz w:val="22"/>
          <w:szCs w:val="22"/>
          <w:lang w:val="en-GB"/>
        </w:rPr>
        <w:t xml:space="preserve">  The Ecosystem</w:t>
      </w:r>
      <w:r w:rsidR="00216740">
        <w:rPr>
          <w:rFonts w:ascii="Arial" w:hAnsi="Arial" w:cs="Arial"/>
          <w:sz w:val="22"/>
          <w:szCs w:val="22"/>
          <w:lang w:val="en-GB"/>
        </w:rPr>
        <w:t>s</w:t>
      </w:r>
      <w:r w:rsidRPr="0085764E">
        <w:rPr>
          <w:rFonts w:ascii="Arial" w:hAnsi="Arial" w:cs="Arial"/>
          <w:sz w:val="22"/>
          <w:szCs w:val="22"/>
          <w:lang w:val="en-GB"/>
        </w:rPr>
        <w:t xml:space="preserve"> consist of a set of systems that support MDs and, Biomedical Analysis Lab personnel who manage clinical and genomic patient data respectively, in addition to epidemiologists who want to be aware of the epidemics of a disease</w:t>
      </w:r>
      <w:r w:rsidR="009E6243">
        <w:rPr>
          <w:rFonts w:ascii="Arial" w:hAnsi="Arial" w:cs="Arial"/>
          <w:sz w:val="22"/>
          <w:szCs w:val="22"/>
          <w:lang w:val="en-GB"/>
        </w:rPr>
        <w:t>,</w:t>
      </w:r>
      <w:r w:rsidRPr="0085764E">
        <w:rPr>
          <w:rFonts w:ascii="Arial" w:hAnsi="Arial" w:cs="Arial"/>
          <w:sz w:val="22"/>
          <w:szCs w:val="22"/>
          <w:lang w:val="en-GB"/>
        </w:rPr>
        <w:t xml:space="preserve"> to decide on actions that must be undertaken to address the challenges presented</w:t>
      </w:r>
      <w:r w:rsidR="00216740">
        <w:rPr>
          <w:rFonts w:ascii="Arial" w:hAnsi="Arial" w:cs="Arial"/>
          <w:sz w:val="22"/>
          <w:szCs w:val="22"/>
          <w:lang w:val="en-GB"/>
        </w:rPr>
        <w:t xml:space="preserve">. We adopted a patient-centric approach for the Ecosystem supporting </w:t>
      </w:r>
      <w:r w:rsidR="00E359EB">
        <w:rPr>
          <w:rFonts w:ascii="Arial" w:hAnsi="Arial" w:cs="Arial"/>
          <w:sz w:val="22"/>
          <w:szCs w:val="22"/>
          <w:lang w:val="en-GB"/>
        </w:rPr>
        <w:t>interoperability</w:t>
      </w:r>
      <w:r w:rsidR="00216740">
        <w:rPr>
          <w:rFonts w:ascii="Arial" w:hAnsi="Arial" w:cs="Arial"/>
          <w:sz w:val="22"/>
          <w:szCs w:val="22"/>
          <w:lang w:val="en-GB"/>
        </w:rPr>
        <w:t xml:space="preserve"> with third-party systems and providing a complete image of the patient’s profile. The Ecosystems are in </w:t>
      </w:r>
      <w:r w:rsidR="009E6243">
        <w:rPr>
          <w:rFonts w:ascii="Arial" w:hAnsi="Arial" w:cs="Arial"/>
          <w:sz w:val="22"/>
          <w:szCs w:val="22"/>
          <w:lang w:val="en-GB"/>
        </w:rPr>
        <w:t>production</w:t>
      </w:r>
      <w:r w:rsidR="00216740">
        <w:rPr>
          <w:rFonts w:ascii="Arial" w:hAnsi="Arial" w:cs="Arial"/>
          <w:sz w:val="22"/>
          <w:szCs w:val="22"/>
          <w:lang w:val="en-GB"/>
        </w:rPr>
        <w:t xml:space="preserve"> mode and </w:t>
      </w:r>
      <w:r w:rsidR="00E359EB">
        <w:rPr>
          <w:rFonts w:ascii="Arial" w:hAnsi="Arial" w:cs="Arial"/>
          <w:sz w:val="22"/>
          <w:szCs w:val="22"/>
        </w:rPr>
        <w:t xml:space="preserve">currently store approximately 6.000 patient clinical and genomic data. </w:t>
      </w:r>
    </w:p>
    <w:p w14:paraId="0C21CCF6" w14:textId="77777777" w:rsidR="006C69C9" w:rsidRDefault="00770740" w:rsidP="00041506">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14:paraId="764CAC9C" w14:textId="4686B209" w:rsidR="009E6243" w:rsidRPr="0085764E" w:rsidRDefault="009E6243" w:rsidP="009E6243">
      <w:pPr>
        <w:jc w:val="both"/>
        <w:rPr>
          <w:rFonts w:ascii="Arial" w:hAnsi="Arial" w:cs="Arial"/>
          <w:sz w:val="16"/>
          <w:szCs w:val="16"/>
          <w:lang w:val="pt-BR"/>
        </w:rPr>
      </w:pPr>
      <w:r w:rsidRPr="0085764E">
        <w:rPr>
          <w:rFonts w:ascii="Arial" w:hAnsi="Arial" w:cs="Arial"/>
          <w:sz w:val="16"/>
          <w:szCs w:val="16"/>
          <w:lang w:val="pt-BR"/>
        </w:rPr>
        <w:t xml:space="preserve">[1] </w:t>
      </w:r>
      <w:r w:rsidRPr="0085764E">
        <w:rPr>
          <w:rFonts w:ascii="Arial" w:hAnsi="Arial" w:cs="Arial"/>
          <w:sz w:val="16"/>
          <w:szCs w:val="16"/>
          <w:lang w:val="en-GB"/>
        </w:rPr>
        <w:t xml:space="preserve">Irini Fundulaki, Tzanina Saveta, Vassilis Papakonstantinou, Yannis Roussakis: An Ecosystem for Precision Medicine: Closing the Cycle from Doctor to Patient. </w:t>
      </w:r>
      <w:r w:rsidR="001F4EC0">
        <w:rPr>
          <w:rFonts w:ascii="Arial" w:hAnsi="Arial" w:cs="Arial"/>
          <w:sz w:val="16"/>
          <w:szCs w:val="16"/>
          <w:lang w:val="en-GB"/>
        </w:rPr>
        <w:t xml:space="preserve">Int’l Workshop Semantic Web meats Health Data @ </w:t>
      </w:r>
      <w:r w:rsidRPr="0085764E">
        <w:rPr>
          <w:rFonts w:ascii="Arial" w:hAnsi="Arial" w:cs="Arial"/>
          <w:sz w:val="16"/>
          <w:szCs w:val="16"/>
          <w:lang w:val="en-GB"/>
        </w:rPr>
        <w:t>I</w:t>
      </w:r>
      <w:r w:rsidR="001F4EC0">
        <w:rPr>
          <w:rFonts w:ascii="Arial" w:hAnsi="Arial" w:cs="Arial"/>
          <w:sz w:val="16"/>
          <w:szCs w:val="16"/>
          <w:lang w:val="en-GB"/>
        </w:rPr>
        <w:t xml:space="preserve">nternational </w:t>
      </w:r>
      <w:r w:rsidRPr="0085764E">
        <w:rPr>
          <w:rFonts w:ascii="Arial" w:hAnsi="Arial" w:cs="Arial"/>
          <w:sz w:val="16"/>
          <w:szCs w:val="16"/>
          <w:lang w:val="en-GB"/>
        </w:rPr>
        <w:t>S</w:t>
      </w:r>
      <w:r w:rsidR="001F4EC0">
        <w:rPr>
          <w:rFonts w:ascii="Arial" w:hAnsi="Arial" w:cs="Arial"/>
          <w:sz w:val="16"/>
          <w:szCs w:val="16"/>
          <w:lang w:val="en-GB"/>
        </w:rPr>
        <w:t xml:space="preserve">emantic </w:t>
      </w:r>
      <w:r w:rsidRPr="0085764E">
        <w:rPr>
          <w:rFonts w:ascii="Arial" w:hAnsi="Arial" w:cs="Arial"/>
          <w:sz w:val="16"/>
          <w:szCs w:val="16"/>
          <w:lang w:val="en-GB"/>
        </w:rPr>
        <w:t>W</w:t>
      </w:r>
      <w:r w:rsidR="001F4EC0">
        <w:rPr>
          <w:rFonts w:ascii="Arial" w:hAnsi="Arial" w:cs="Arial"/>
          <w:sz w:val="16"/>
          <w:szCs w:val="16"/>
          <w:lang w:val="en-GB"/>
        </w:rPr>
        <w:t xml:space="preserve">eb </w:t>
      </w:r>
      <w:r w:rsidRPr="0085764E">
        <w:rPr>
          <w:rFonts w:ascii="Arial" w:hAnsi="Arial" w:cs="Arial"/>
          <w:sz w:val="16"/>
          <w:szCs w:val="16"/>
          <w:lang w:val="en-GB"/>
        </w:rPr>
        <w:t>C</w:t>
      </w:r>
      <w:r w:rsidR="001F4EC0">
        <w:rPr>
          <w:rFonts w:ascii="Arial" w:hAnsi="Arial" w:cs="Arial"/>
          <w:sz w:val="16"/>
          <w:szCs w:val="16"/>
          <w:lang w:val="en-GB"/>
        </w:rPr>
        <w:t>onference</w:t>
      </w:r>
      <w:r w:rsidRPr="0085764E">
        <w:rPr>
          <w:rFonts w:ascii="Arial" w:hAnsi="Arial" w:cs="Arial"/>
          <w:sz w:val="16"/>
          <w:szCs w:val="16"/>
          <w:lang w:val="en-GB"/>
        </w:rPr>
        <w:t xml:space="preserve"> 2020: 1-6.</w:t>
      </w:r>
    </w:p>
    <w:p w14:paraId="2AFE3BE6" w14:textId="77777777" w:rsidR="009E6243" w:rsidRPr="00BE281B" w:rsidRDefault="009E6243" w:rsidP="00041506">
      <w:pPr>
        <w:pStyle w:val="AbstractText"/>
        <w:spacing w:before="120"/>
        <w:rPr>
          <w:rFonts w:ascii="Arial" w:hAnsi="Arial" w:cs="Arial"/>
          <w:b/>
          <w:sz w:val="20"/>
        </w:rPr>
      </w:pPr>
    </w:p>
    <w:p w14:paraId="5327E66B" w14:textId="77777777" w:rsidR="00EC0AC6" w:rsidRPr="00EC0AC6" w:rsidRDefault="00EC0AC6" w:rsidP="00EC0AC6">
      <w:pPr>
        <w:rPr>
          <w:lang w:val="pt-BR"/>
        </w:rPr>
      </w:pPr>
    </w:p>
    <w:p w14:paraId="3CBF74AF" w14:textId="77777777" w:rsidR="00EC0AC6" w:rsidRPr="00EC0AC6" w:rsidRDefault="00EC0AC6" w:rsidP="00EC0AC6">
      <w:pPr>
        <w:rPr>
          <w:lang w:val="pt-BR"/>
        </w:rPr>
      </w:pPr>
    </w:p>
    <w:p w14:paraId="17EC20F0" w14:textId="75C04A45" w:rsidR="00EC0AC6" w:rsidRPr="00AD1B5F" w:rsidRDefault="00AD1B5F" w:rsidP="00EC0AC6">
      <w:pPr>
        <w:rPr>
          <w:rFonts w:ascii="Arial" w:hAnsi="Arial" w:cs="Arial"/>
          <w:b/>
          <w:bCs/>
          <w:i/>
          <w:iCs/>
          <w:lang w:val="pt-BR"/>
        </w:rPr>
      </w:pPr>
      <w:r w:rsidRPr="00AD1B5F">
        <w:rPr>
          <w:rFonts w:ascii="Arial" w:hAnsi="Arial" w:cs="Arial"/>
          <w:b/>
          <w:bCs/>
          <w:i/>
          <w:iCs/>
          <w:lang w:val="pt-BR"/>
        </w:rPr>
        <w:t xml:space="preserve">Irini Fundulaki </w:t>
      </w:r>
      <w:r>
        <w:rPr>
          <w:rFonts w:ascii="Arial" w:hAnsi="Arial" w:cs="Arial"/>
          <w:b/>
          <w:bCs/>
          <w:i/>
          <w:iCs/>
          <w:lang w:val="pt-BR"/>
        </w:rPr>
        <w:t>– Short CV</w:t>
      </w:r>
    </w:p>
    <w:p w14:paraId="2F90FC76" w14:textId="653D0D88" w:rsidR="00AD1B5F" w:rsidRPr="00AD1B5F" w:rsidRDefault="00AD1B5F" w:rsidP="00AD1B5F">
      <w:pPr>
        <w:pStyle w:val="NormalWeb"/>
        <w:spacing w:before="0" w:beforeAutospacing="0" w:after="0" w:afterAutospacing="0" w:line="276" w:lineRule="auto"/>
        <w:jc w:val="both"/>
        <w:rPr>
          <w:rFonts w:ascii="Arial" w:hAnsi="Arial" w:cs="Arial"/>
          <w:color w:val="000000"/>
          <w:sz w:val="22"/>
          <w:szCs w:val="22"/>
        </w:rPr>
      </w:pPr>
      <w:r w:rsidRPr="00AD1B5F">
        <w:rPr>
          <w:rFonts w:ascii="Arial" w:hAnsi="Arial" w:cs="Arial"/>
          <w:color w:val="000000"/>
          <w:sz w:val="22"/>
          <w:szCs w:val="22"/>
        </w:rPr>
        <w:t xml:space="preserve">Irini Fundulaki is a Research Director (Grade A) at FORTH-ICS. She holds a Ph.D. degree (Diplôme de Docteur en Informatique) from the Conservatoire National des Arts et Métiers Paris (C.N.A.M, France.). From 2003 to 2006 she worked at the Network Data and Services Research Department of Bell Laboratories, Lucent Technologies (USA) first as a Postgraduate researcher and then as a Member of Technical Staff where she worked on the topic of personal data management focusing on access control. In 2006 she moved to the Database Group of the Laboratory for Foundations of Computer Science of the School of Informatics, University of Edinburgh (UK) where she continued her work on access control for XML data. In 2008 she returned to Greece as a Research Associate (Grade C) at the Information Systems Laboratory of ICS-FORTH. She is interested in </w:t>
      </w:r>
      <w:r w:rsidRPr="00AD1B5F">
        <w:rPr>
          <w:rFonts w:ascii="Arial" w:hAnsi="Arial" w:cs="Arial"/>
          <w:sz w:val="22"/>
          <w:szCs w:val="22"/>
        </w:rPr>
        <w:t>Database Management and Information Systems for the World Wide Web, Provenance Models for RDF Data, Storage and Indexing Schemes for RDF Provenance, Storage, Indexing and Scalable RDF Query Processing, Access Control for RDF and XML Data, Benchmarking, Online Bias, Precision Medicine, Health Information Systems, Genomic Databases and Analysis tools</w:t>
      </w:r>
      <w:r w:rsidRPr="00AD1B5F">
        <w:rPr>
          <w:rFonts w:ascii="Arial" w:hAnsi="Arial" w:cs="Arial"/>
          <w:color w:val="000000"/>
          <w:sz w:val="22"/>
          <w:szCs w:val="22"/>
        </w:rPr>
        <w:t xml:space="preserve">. Since 2018 she has been the scientific supervisor on behalf of the Institute  of Computer Science – FORTH in the National Flagship Actions on  Precision Medicine: (a) The Hellenic Precision Medicine Network on Cancer (b) The National Network For Genetic Cardiovascular Diseases  Study And Prevention Of Sudden Death In The Young On The Basis Of  Precision Medicine (Phases I and II) (c) The National Research Network for  Neurodegenerative Diseases on the basis of Precision Medicine and (d) the Hellenic Network on Molecular Oncology. </w:t>
      </w:r>
      <w:r w:rsidRPr="00AD1B5F">
        <w:rPr>
          <w:rFonts w:ascii="Arial" w:hAnsi="Arial" w:cs="Arial"/>
          <w:sz w:val="22"/>
          <w:szCs w:val="22"/>
        </w:rPr>
        <w:t>She is leading team of ICS-FORTH research and software engineers who designed and implemented the integrated health information systems of the projects that manage clinical, genomic, molecular and imaging data of patients.</w:t>
      </w:r>
      <w:r>
        <w:rPr>
          <w:rFonts w:ascii="Arial" w:hAnsi="Arial" w:cs="Arial"/>
          <w:sz w:val="22"/>
          <w:szCs w:val="22"/>
        </w:rPr>
        <w:t xml:space="preserve"> She has authored many papers in Semantic Web and Database Conferences, and she has been member of Program Committees of renowned conferences and journals in the field of Data Management. </w:t>
      </w:r>
    </w:p>
    <w:p w14:paraId="2097D447" w14:textId="77777777" w:rsidR="00AD1B5F" w:rsidRPr="00EC0AC6" w:rsidRDefault="00AD1B5F" w:rsidP="00EC0AC6">
      <w:pPr>
        <w:rPr>
          <w:lang w:val="pt-BR"/>
        </w:rPr>
      </w:pPr>
    </w:p>
    <w:p w14:paraId="58B855FA" w14:textId="77777777" w:rsidR="00EC0AC6" w:rsidRPr="00EC0AC6" w:rsidRDefault="00EC0AC6" w:rsidP="00EC0AC6">
      <w:pPr>
        <w:rPr>
          <w:lang w:val="pt-BR"/>
        </w:rPr>
      </w:pPr>
    </w:p>
    <w:p w14:paraId="32C739E7" w14:textId="77777777" w:rsidR="00EC0AC6" w:rsidRPr="00EC0AC6" w:rsidRDefault="00EC0AC6" w:rsidP="00EC0AC6">
      <w:pPr>
        <w:rPr>
          <w:lang w:val="pt-BR"/>
        </w:rPr>
      </w:pPr>
    </w:p>
    <w:p w14:paraId="200523D8" w14:textId="77777777" w:rsidR="00EC0AC6" w:rsidRPr="00EC0AC6" w:rsidRDefault="00EC0AC6" w:rsidP="00EC0AC6">
      <w:pPr>
        <w:rPr>
          <w:lang w:val="pt-BR"/>
        </w:rPr>
      </w:pPr>
    </w:p>
    <w:p w14:paraId="003CCF8B" w14:textId="77777777" w:rsidR="00EC0AC6" w:rsidRPr="00EC0AC6" w:rsidRDefault="00EC0AC6" w:rsidP="00EC0AC6">
      <w:pPr>
        <w:rPr>
          <w:lang w:val="pt-BR"/>
        </w:rPr>
      </w:pPr>
    </w:p>
    <w:p w14:paraId="37F2B235" w14:textId="77777777" w:rsidR="00EC0AC6" w:rsidRPr="00EC0AC6" w:rsidRDefault="00EC0AC6" w:rsidP="00EC0AC6">
      <w:pPr>
        <w:rPr>
          <w:lang w:val="pt-BR"/>
        </w:rPr>
      </w:pPr>
    </w:p>
    <w:p w14:paraId="74AB6342" w14:textId="77777777" w:rsidR="00EC0AC6" w:rsidRPr="00EC0AC6" w:rsidRDefault="00EC0AC6" w:rsidP="00EC0AC6">
      <w:pPr>
        <w:rPr>
          <w:lang w:val="pt-BR"/>
        </w:rPr>
      </w:pPr>
    </w:p>
    <w:p w14:paraId="6E0BD88E" w14:textId="77777777" w:rsidR="00EC0AC6" w:rsidRPr="00EC0AC6" w:rsidRDefault="00EC0AC6" w:rsidP="00EC0AC6">
      <w:pPr>
        <w:jc w:val="center"/>
        <w:rPr>
          <w:lang w:val="pt-BR"/>
        </w:rPr>
      </w:pPr>
    </w:p>
    <w:sectPr w:rsidR="00EC0AC6" w:rsidRPr="00EC0AC6"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397B" w14:textId="77777777" w:rsidR="00016C86" w:rsidRDefault="00016C86" w:rsidP="00C15FA9">
      <w:pPr>
        <w:spacing w:after="0" w:line="240" w:lineRule="auto"/>
      </w:pPr>
      <w:r>
        <w:separator/>
      </w:r>
    </w:p>
  </w:endnote>
  <w:endnote w:type="continuationSeparator" w:id="0">
    <w:p w14:paraId="40060229" w14:textId="77777777" w:rsidR="00016C86" w:rsidRDefault="00016C86"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Light">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81EA" w14:textId="77777777" w:rsidR="00016787" w:rsidRPr="00B75F5D" w:rsidRDefault="001C581D" w:rsidP="00EC0AC6">
    <w:pPr>
      <w:pStyle w:val="Footer"/>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944B" w14:textId="77777777" w:rsidR="00016C86" w:rsidRDefault="00016C86" w:rsidP="00C15FA9">
      <w:pPr>
        <w:spacing w:after="0" w:line="240" w:lineRule="auto"/>
      </w:pPr>
      <w:r>
        <w:separator/>
      </w:r>
    </w:p>
  </w:footnote>
  <w:footnote w:type="continuationSeparator" w:id="0">
    <w:p w14:paraId="0C137CF6" w14:textId="77777777" w:rsidR="00016C86" w:rsidRDefault="00016C86" w:rsidP="00C15FA9">
      <w:pPr>
        <w:spacing w:after="0" w:line="240" w:lineRule="auto"/>
      </w:pPr>
      <w:r>
        <w:continuationSeparator/>
      </w:r>
    </w:p>
  </w:footnote>
  <w:footnote w:id="1">
    <w:p w14:paraId="5407CFC2" w14:textId="14662754" w:rsidR="00E7025D" w:rsidRPr="009E6243" w:rsidRDefault="00E7025D">
      <w:pPr>
        <w:pStyle w:val="FootnoteText"/>
        <w:rPr>
          <w:rFonts w:ascii="Arial" w:hAnsi="Arial" w:cs="Arial"/>
          <w:sz w:val="16"/>
          <w:szCs w:val="16"/>
          <w:lang w:val="en-US"/>
        </w:rPr>
      </w:pPr>
    </w:p>
  </w:footnote>
  <w:footnote w:id="2">
    <w:p w14:paraId="70038573" w14:textId="238144A4" w:rsidR="00E7025D" w:rsidRPr="009E6243" w:rsidRDefault="00E7025D">
      <w:pPr>
        <w:pStyle w:val="FootnoteText"/>
        <w:rPr>
          <w:rFonts w:ascii="Arial" w:hAnsi="Arial" w:cs="Arial"/>
          <w:sz w:val="16"/>
          <w:szCs w:val="16"/>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3AA0"/>
    <w:multiLevelType w:val="multilevel"/>
    <w:tmpl w:val="144C0F3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16C86"/>
    <w:rsid w:val="000212B0"/>
    <w:rsid w:val="000247AB"/>
    <w:rsid w:val="00030C7A"/>
    <w:rsid w:val="00041506"/>
    <w:rsid w:val="00052233"/>
    <w:rsid w:val="00081908"/>
    <w:rsid w:val="000854CB"/>
    <w:rsid w:val="00091D8A"/>
    <w:rsid w:val="00122BE4"/>
    <w:rsid w:val="00154E5C"/>
    <w:rsid w:val="00164AEF"/>
    <w:rsid w:val="00166E6F"/>
    <w:rsid w:val="00173A80"/>
    <w:rsid w:val="001A3DA4"/>
    <w:rsid w:val="001C0F59"/>
    <w:rsid w:val="001C581D"/>
    <w:rsid w:val="001D06ED"/>
    <w:rsid w:val="001F4EC0"/>
    <w:rsid w:val="0021141D"/>
    <w:rsid w:val="00216740"/>
    <w:rsid w:val="00256C90"/>
    <w:rsid w:val="002742E1"/>
    <w:rsid w:val="003036CD"/>
    <w:rsid w:val="00320F2A"/>
    <w:rsid w:val="003307BC"/>
    <w:rsid w:val="00392CA5"/>
    <w:rsid w:val="003A1848"/>
    <w:rsid w:val="003F432B"/>
    <w:rsid w:val="00477B33"/>
    <w:rsid w:val="004818A5"/>
    <w:rsid w:val="00491860"/>
    <w:rsid w:val="00492E05"/>
    <w:rsid w:val="004A1370"/>
    <w:rsid w:val="004C5CF7"/>
    <w:rsid w:val="005035C3"/>
    <w:rsid w:val="005304BB"/>
    <w:rsid w:val="005427CA"/>
    <w:rsid w:val="005536A6"/>
    <w:rsid w:val="00557BE2"/>
    <w:rsid w:val="005A418E"/>
    <w:rsid w:val="00610622"/>
    <w:rsid w:val="0061458D"/>
    <w:rsid w:val="0062218B"/>
    <w:rsid w:val="00625928"/>
    <w:rsid w:val="00626E46"/>
    <w:rsid w:val="006348F1"/>
    <w:rsid w:val="0064052C"/>
    <w:rsid w:val="00681E3A"/>
    <w:rsid w:val="006A37A9"/>
    <w:rsid w:val="006A626D"/>
    <w:rsid w:val="006B303E"/>
    <w:rsid w:val="006C69C9"/>
    <w:rsid w:val="006E7D24"/>
    <w:rsid w:val="0070157B"/>
    <w:rsid w:val="007235C5"/>
    <w:rsid w:val="00730762"/>
    <w:rsid w:val="00740FF0"/>
    <w:rsid w:val="00750221"/>
    <w:rsid w:val="0076170F"/>
    <w:rsid w:val="00762D2A"/>
    <w:rsid w:val="00770740"/>
    <w:rsid w:val="0079732E"/>
    <w:rsid w:val="007C3590"/>
    <w:rsid w:val="0084469F"/>
    <w:rsid w:val="00850765"/>
    <w:rsid w:val="00852B87"/>
    <w:rsid w:val="0085764E"/>
    <w:rsid w:val="008F2FBF"/>
    <w:rsid w:val="00916433"/>
    <w:rsid w:val="009164A1"/>
    <w:rsid w:val="00924FB8"/>
    <w:rsid w:val="009312C8"/>
    <w:rsid w:val="00953403"/>
    <w:rsid w:val="009A7868"/>
    <w:rsid w:val="009C08C1"/>
    <w:rsid w:val="009C0F9D"/>
    <w:rsid w:val="009C68E4"/>
    <w:rsid w:val="009E6243"/>
    <w:rsid w:val="00A15232"/>
    <w:rsid w:val="00A46AA9"/>
    <w:rsid w:val="00A51804"/>
    <w:rsid w:val="00A66A2B"/>
    <w:rsid w:val="00A67BC2"/>
    <w:rsid w:val="00A822E1"/>
    <w:rsid w:val="00A8623E"/>
    <w:rsid w:val="00AD1B5F"/>
    <w:rsid w:val="00AD6335"/>
    <w:rsid w:val="00B0538D"/>
    <w:rsid w:val="00B062DA"/>
    <w:rsid w:val="00B23B32"/>
    <w:rsid w:val="00B75F5D"/>
    <w:rsid w:val="00BE281B"/>
    <w:rsid w:val="00BE2E35"/>
    <w:rsid w:val="00BE3F11"/>
    <w:rsid w:val="00BE57FF"/>
    <w:rsid w:val="00BF02B4"/>
    <w:rsid w:val="00C15FA9"/>
    <w:rsid w:val="00C320FC"/>
    <w:rsid w:val="00C40FB7"/>
    <w:rsid w:val="00C606E3"/>
    <w:rsid w:val="00C70942"/>
    <w:rsid w:val="00C7355F"/>
    <w:rsid w:val="00CB340A"/>
    <w:rsid w:val="00CC7F3B"/>
    <w:rsid w:val="00CE0E22"/>
    <w:rsid w:val="00CF4DBC"/>
    <w:rsid w:val="00D31968"/>
    <w:rsid w:val="00DC447B"/>
    <w:rsid w:val="00E1027D"/>
    <w:rsid w:val="00E359EB"/>
    <w:rsid w:val="00E7025D"/>
    <w:rsid w:val="00E70819"/>
    <w:rsid w:val="00E9351D"/>
    <w:rsid w:val="00EB0C46"/>
    <w:rsid w:val="00EC0AC6"/>
    <w:rsid w:val="00EC14F3"/>
    <w:rsid w:val="00ED1B63"/>
    <w:rsid w:val="00F51ECC"/>
    <w:rsid w:val="00F76C80"/>
    <w:rsid w:val="00FB3BCC"/>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F76EF"/>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 w:type="character" w:styleId="FootnoteReference">
    <w:name w:val="footnote reference"/>
    <w:basedOn w:val="DefaultParagraphFont"/>
    <w:rsid w:val="002742E1"/>
    <w:rPr>
      <w:vertAlign w:val="superscript"/>
    </w:rPr>
  </w:style>
  <w:style w:type="paragraph" w:styleId="FootnoteText">
    <w:name w:val="footnote text"/>
    <w:basedOn w:val="Normal"/>
    <w:link w:val="FootnoteTextChar"/>
    <w:uiPriority w:val="99"/>
    <w:semiHidden/>
    <w:unhideWhenUsed/>
    <w:rsid w:val="00E702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25D"/>
    <w:rPr>
      <w:lang w:eastAsia="en-US"/>
    </w:rPr>
  </w:style>
  <w:style w:type="character" w:styleId="Hyperlink">
    <w:name w:val="Hyperlink"/>
    <w:basedOn w:val="DefaultParagraphFont"/>
    <w:uiPriority w:val="99"/>
    <w:unhideWhenUsed/>
    <w:rsid w:val="009E6243"/>
    <w:rPr>
      <w:color w:val="0000FF" w:themeColor="hyperlink"/>
      <w:u w:val="single"/>
    </w:rPr>
  </w:style>
  <w:style w:type="character" w:styleId="UnresolvedMention">
    <w:name w:val="Unresolved Mention"/>
    <w:basedOn w:val="DefaultParagraphFont"/>
    <w:uiPriority w:val="99"/>
    <w:semiHidden/>
    <w:unhideWhenUsed/>
    <w:rsid w:val="009E6243"/>
    <w:rPr>
      <w:color w:val="605E5C"/>
      <w:shd w:val="clear" w:color="auto" w:fill="E1DFDD"/>
    </w:rPr>
  </w:style>
  <w:style w:type="paragraph" w:styleId="NormalWeb">
    <w:name w:val="Normal (Web)"/>
    <w:basedOn w:val="Normal"/>
    <w:uiPriority w:val="99"/>
    <w:unhideWhenUsed/>
    <w:rsid w:val="00AD1B5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eleni\AppData\Local\Temp\pid-9192\edimo.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eleni\AppData\Local\Temp\pid-9192\neuropmne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leni\AppData\Local\Temp\pid-9192\icardiacnet.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eleni\AppData\Local\Temp\pid-9192\oncopmnet.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Eleni Orphanoudaki</cp:lastModifiedBy>
  <cp:revision>2</cp:revision>
  <cp:lastPrinted>2022-05-16T10:24:00Z</cp:lastPrinted>
  <dcterms:created xsi:type="dcterms:W3CDTF">2024-10-07T09:11:00Z</dcterms:created>
  <dcterms:modified xsi:type="dcterms:W3CDTF">2024-10-07T09:11:00Z</dcterms:modified>
</cp:coreProperties>
</file>